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                           LE CONSEIL D’ECOLE</w:t>
      </w:r>
    </w:p>
    <w:p w14:paraId="00000002" w14:textId="77777777" w:rsidR="00703E5D" w:rsidRDefault="00703E5D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720"/>
        <w:rPr>
          <w:b/>
          <w:color w:val="000000"/>
          <w:sz w:val="28"/>
          <w:szCs w:val="28"/>
        </w:rPr>
      </w:pPr>
    </w:p>
    <w:p w14:paraId="00000003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ind w:left="2160" w:hanging="720"/>
        <w:rPr>
          <w:color w:val="000000"/>
        </w:rPr>
      </w:pPr>
      <w:r>
        <w:rPr>
          <w:color w:val="000000"/>
        </w:rPr>
        <w:t xml:space="preserve">                           Circulaire N°1566 du 09 juillet 2019</w:t>
      </w:r>
    </w:p>
    <w:p w14:paraId="00000004" w14:textId="77777777" w:rsidR="00703E5D" w:rsidRDefault="00703E5D">
      <w:pPr>
        <w:pBdr>
          <w:top w:val="nil"/>
          <w:left w:val="nil"/>
          <w:bottom w:val="nil"/>
          <w:right w:val="nil"/>
          <w:between w:val="nil"/>
        </w:pBdr>
        <w:ind w:left="2160" w:hanging="720"/>
        <w:rPr>
          <w:color w:val="000000"/>
        </w:rPr>
      </w:pPr>
    </w:p>
    <w:p w14:paraId="00000005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Un conseil d’école est instauré dans tous les établissements qui comprennent un enseignement du premier degré placé sous la responsabilité d’un directeur d’école.</w:t>
      </w:r>
    </w:p>
    <w:p w14:paraId="00000006" w14:textId="77777777" w:rsidR="00703E5D" w:rsidRDefault="00703E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7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– Attributions </w:t>
      </w:r>
    </w:p>
    <w:p w14:paraId="00000008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Le conseil d’école adopte le règlement intérieur de l’</w:t>
      </w:r>
      <w:r>
        <w:rPr>
          <w:color w:val="000000"/>
        </w:rPr>
        <w:t>école sur proposition du directeur de l’école.</w:t>
      </w:r>
    </w:p>
    <w:p w14:paraId="00000009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Ce conseil est obligatoirement consulté pour avis sur toutes les questions ayant trait au fonctionnement et à la vie de l’école, notamment sur : </w:t>
      </w:r>
    </w:p>
    <w:p w14:paraId="0000000A" w14:textId="77777777" w:rsidR="00703E5D" w:rsidRDefault="00F67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Les structures pédagogiques.</w:t>
      </w:r>
    </w:p>
    <w:p w14:paraId="0000000B" w14:textId="77777777" w:rsidR="00703E5D" w:rsidRDefault="00F67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L’organisation du temps et du calendrier scolaires. </w:t>
      </w:r>
    </w:p>
    <w:p w14:paraId="0000000C" w14:textId="77777777" w:rsidR="00703E5D" w:rsidRDefault="00F67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Le projet d’école ou le projet d’établissement dans sa partie 1</w:t>
      </w:r>
      <w:r>
        <w:rPr>
          <w:color w:val="000000"/>
          <w:vertAlign w:val="superscript"/>
        </w:rPr>
        <w:t>er</w:t>
      </w:r>
      <w:r>
        <w:rPr>
          <w:color w:val="000000"/>
        </w:rPr>
        <w:t xml:space="preserve"> degré sur proposition du conseil des maîtres. </w:t>
      </w:r>
    </w:p>
    <w:p w14:paraId="0000000D" w14:textId="77777777" w:rsidR="00703E5D" w:rsidRDefault="00F67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Les conditions d’aménagement de la scolarisation des élèves à</w:t>
      </w:r>
      <w:r>
        <w:rPr>
          <w:color w:val="000000"/>
        </w:rPr>
        <w:t xml:space="preserve"> besoin éducatif particulier en prenant en compte les contraintes locales</w:t>
      </w:r>
    </w:p>
    <w:p w14:paraId="0000000E" w14:textId="77777777" w:rsidR="00703E5D" w:rsidRDefault="00F67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Les projets et l’organisation des classes de découverte</w:t>
      </w:r>
    </w:p>
    <w:p w14:paraId="0000000F" w14:textId="77777777" w:rsidR="00703E5D" w:rsidRDefault="00F67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Les questions relatives à l’hygiène, à la santé et à la sécurité des élèves dans le cadre scolaire et périscolaire</w:t>
      </w:r>
    </w:p>
    <w:p w14:paraId="00000010" w14:textId="77777777" w:rsidR="00703E5D" w:rsidRDefault="00F67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Les questio</w:t>
      </w:r>
      <w:r>
        <w:rPr>
          <w:color w:val="000000"/>
        </w:rPr>
        <w:t>ns relatives à l’accueil, à l’information des parents d’élèves et les modalités générales de leur participation à la vie scolaire</w:t>
      </w:r>
    </w:p>
    <w:p w14:paraId="00000011" w14:textId="77777777" w:rsidR="00703E5D" w:rsidRDefault="00F67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Le programme d’actions annuel contre toutes les formes de violence, de discrimination et de harcèlement.</w:t>
      </w:r>
    </w:p>
    <w:p w14:paraId="00000012" w14:textId="77777777" w:rsidR="00703E5D" w:rsidRDefault="00703E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3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2 - Composition</w:t>
      </w:r>
    </w:p>
    <w:p w14:paraId="00000014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 c</w:t>
      </w:r>
      <w:r>
        <w:rPr>
          <w:color w:val="000000"/>
        </w:rPr>
        <w:t>onseil d’école est présidé par le directeur d’école</w:t>
      </w:r>
    </w:p>
    <w:p w14:paraId="00000015" w14:textId="77777777" w:rsidR="00703E5D" w:rsidRDefault="00F679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t>dans</w:t>
      </w:r>
      <w:proofErr w:type="gramEnd"/>
      <w:r>
        <w:rPr>
          <w:color w:val="000000"/>
        </w:rPr>
        <w:t xml:space="preserve"> les écoles de moins de 15 classes</w:t>
      </w:r>
    </w:p>
    <w:p w14:paraId="00000016" w14:textId="77777777" w:rsidR="00703E5D" w:rsidRDefault="00F679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t>le</w:t>
      </w:r>
      <w:proofErr w:type="gramEnd"/>
      <w:r>
        <w:rPr>
          <w:color w:val="000000"/>
        </w:rPr>
        <w:t xml:space="preserve"> directeur d’école</w:t>
      </w:r>
    </w:p>
    <w:p w14:paraId="00000017" w14:textId="77777777" w:rsidR="00703E5D" w:rsidRDefault="00F679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t>les</w:t>
      </w:r>
      <w:proofErr w:type="gramEnd"/>
      <w:r>
        <w:rPr>
          <w:color w:val="000000"/>
        </w:rPr>
        <w:t xml:space="preserve"> enseignants de l’école</w:t>
      </w:r>
    </w:p>
    <w:p w14:paraId="00000018" w14:textId="77777777" w:rsidR="00703E5D" w:rsidRDefault="00F6795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color w:val="000000"/>
        </w:rPr>
        <w:t>les</w:t>
      </w:r>
      <w:proofErr w:type="gramEnd"/>
      <w:r>
        <w:rPr>
          <w:color w:val="000000"/>
        </w:rPr>
        <w:t xml:space="preserve"> représentants des parents d’élèves.</w:t>
      </w:r>
    </w:p>
    <w:p w14:paraId="00000019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Siégeant avec voix consultative :</w:t>
      </w:r>
    </w:p>
    <w:p w14:paraId="0000001A" w14:textId="77777777" w:rsidR="00703E5D" w:rsidRDefault="00F679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gramStart"/>
      <w:r>
        <w:rPr>
          <w:color w:val="000000"/>
        </w:rPr>
        <w:lastRenderedPageBreak/>
        <w:t>le</w:t>
      </w:r>
      <w:proofErr w:type="gramEnd"/>
      <w:r>
        <w:rPr>
          <w:color w:val="000000"/>
        </w:rPr>
        <w:t xml:space="preserve"> chef d’établissement, ou, en cas d’empêchement, son adjoint.</w:t>
      </w:r>
    </w:p>
    <w:p w14:paraId="0000001B" w14:textId="77777777" w:rsidR="00703E5D" w:rsidRDefault="00F6795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color w:val="000000"/>
        </w:rPr>
        <w:t>l’Inspecteur</w:t>
      </w:r>
      <w:proofErr w:type="gramEnd"/>
      <w:r>
        <w:rPr>
          <w:color w:val="000000"/>
        </w:rPr>
        <w:t xml:space="preserve"> de l’Education nationale en résidence. </w:t>
      </w:r>
    </w:p>
    <w:p w14:paraId="0000001C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Par ailleurs, des représentants des autres personnels qui exercent dans l’école peuvent assister, également avec voix consultative, au conseil d’école.</w:t>
      </w:r>
    </w:p>
    <w:p w14:paraId="0000001D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Le directeur, après avis du conseil, peut inviter toute personne dont la consultat</w:t>
      </w:r>
      <w:r>
        <w:rPr>
          <w:color w:val="000000"/>
        </w:rPr>
        <w:t>ion est jugée utile en fonction de l’ordre du jour</w:t>
      </w:r>
    </w:p>
    <w:p w14:paraId="0000001E" w14:textId="77777777" w:rsidR="00703E5D" w:rsidRDefault="00703E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F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3 - Fonctionnement</w:t>
      </w:r>
    </w:p>
    <w:p w14:paraId="00000020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Le conseil d’école est constitué pour une année et siège valablement jusqu’au renouvellement de ses membres.</w:t>
      </w:r>
    </w:p>
    <w:p w14:paraId="00000021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Le conseil d’école se réunit en séance ordinaire sur un </w:t>
      </w:r>
      <w:r>
        <w:rPr>
          <w:color w:val="000000"/>
        </w:rPr>
        <w:t>ordre du jour précis au moins une fois par trimestre et nécessairement avant le conseil d’établissement, et avant tout conseil extraordinaire si l’ordre du jour le justifie</w:t>
      </w:r>
    </w:p>
    <w:p w14:paraId="00000022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Il peut être également réuni en séance extraordinaire à la demande du dir</w:t>
      </w:r>
      <w:r>
        <w:rPr>
          <w:color w:val="000000"/>
        </w:rPr>
        <w:t>ecteur d’école ou de la moitié de ses membres ayant voix délibérative</w:t>
      </w:r>
    </w:p>
    <w:p w14:paraId="00000023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L’ordre du jour est adressé aux membres du conseil au moins dix jours avant la date de la réunion. Ce délai peut être réduit à trois jours en cas d’urgence.</w:t>
      </w:r>
    </w:p>
    <w:p w14:paraId="00000024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A chaque</w:t>
      </w:r>
      <w:r>
        <w:rPr>
          <w:color w:val="000000"/>
        </w:rPr>
        <w:t xml:space="preserve"> début de séance, le président de séance (le directeur) fait procéder à la désignation d’un secrétaire de séance et d’un secrétaire adjoint, chargés d’établir le procès-verbal. Le secrétaire adjoint est choisi à tour de rôle parmi les représentants des per</w:t>
      </w:r>
      <w:r>
        <w:rPr>
          <w:color w:val="000000"/>
        </w:rPr>
        <w:t>sonnels et des personnels et des parents d’élèves.</w:t>
      </w:r>
    </w:p>
    <w:p w14:paraId="00000025" w14:textId="77777777" w:rsidR="00703E5D" w:rsidRDefault="00F679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Le procès-verbal est dressé par le président, adopté lors du conseil suivant, puis consigné dans un registre spécial conservé à l’école. Un premier exemplaire est adressé au conseil d’établisseme</w:t>
      </w:r>
      <w:r>
        <w:rPr>
          <w:color w:val="000000"/>
        </w:rPr>
        <w:t>nt et annexé à son procès-verbal et un deuxième est affiché en un lieu accessible aux parents d’élèves.</w:t>
      </w:r>
    </w:p>
    <w:sectPr w:rsidR="00703E5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13E93"/>
    <w:multiLevelType w:val="multilevel"/>
    <w:tmpl w:val="81D41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3805C3"/>
    <w:multiLevelType w:val="multilevel"/>
    <w:tmpl w:val="94668B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E377D8"/>
    <w:multiLevelType w:val="multilevel"/>
    <w:tmpl w:val="D26C07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FF42F3"/>
    <w:multiLevelType w:val="multilevel"/>
    <w:tmpl w:val="429E10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E5D"/>
    <w:rsid w:val="00703E5D"/>
    <w:rsid w:val="00F6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CDA19-DABB-4D15-8A04-694D0330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STOYANOV STOYANOV</cp:lastModifiedBy>
  <cp:revision>2</cp:revision>
  <dcterms:created xsi:type="dcterms:W3CDTF">2020-09-29T14:16:00Z</dcterms:created>
  <dcterms:modified xsi:type="dcterms:W3CDTF">2020-09-29T14:16:00Z</dcterms:modified>
</cp:coreProperties>
</file>